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CC1EB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05A1B348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23B944B6">
      <w:pPr>
        <w:rPr>
          <w:rFonts w:ascii="仿宋" w:hAnsi="仿宋" w:eastAsia="仿宋"/>
          <w:sz w:val="28"/>
          <w:szCs w:val="28"/>
        </w:rPr>
      </w:pPr>
    </w:p>
    <w:p w14:paraId="74625E70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3050</w:t>
      </w:r>
    </w:p>
    <w:p w14:paraId="1D16131D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诉讼法原理</w:t>
      </w:r>
    </w:p>
    <w:p w14:paraId="50B52A8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 w14:paraId="60E41719">
      <w:pPr>
        <w:ind w:firstLine="3360" w:firstLineChars="1200"/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</w:pPr>
    </w:p>
    <w:p w14:paraId="27BD9D7E">
      <w:pPr>
        <w:pStyle w:val="2"/>
        <w:ind w:left="707" w:leftChars="70" w:hanging="560" w:hanging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一、刑事诉讼法学、民事诉讼法学的基本范畴</w:t>
      </w:r>
    </w:p>
    <w:p w14:paraId="044FDBC1">
      <w:pPr>
        <w:pStyle w:val="2"/>
        <w:ind w:left="707" w:leftChars="70" w:hanging="560" w:hanging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（一）刑事诉讼法学的基本范畴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刑事诉讼价值</w:t>
      </w:r>
      <w:bookmarkStart w:id="0" w:name="_GoBack"/>
      <w:bookmarkEnd w:id="0"/>
    </w:p>
    <w:p w14:paraId="325CF17E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刑事诉讼目的</w:t>
      </w:r>
    </w:p>
    <w:p w14:paraId="38013AF6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刑事诉讼构造</w:t>
      </w:r>
    </w:p>
    <w:p w14:paraId="4A7825E0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刑事诉讼阶段</w:t>
      </w:r>
    </w:p>
    <w:p w14:paraId="1FACF1FF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刑事诉讼法律关系</w:t>
      </w:r>
    </w:p>
    <w:p w14:paraId="1EB7AEF0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刑事诉讼主体</w:t>
      </w:r>
    </w:p>
    <w:p w14:paraId="62804139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7.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刑事诉讼职能</w:t>
      </w:r>
    </w:p>
    <w:p w14:paraId="273C03AC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刑事诉讼客体</w:t>
      </w:r>
    </w:p>
    <w:p w14:paraId="60148E1D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刑事诉讼行为</w:t>
      </w:r>
    </w:p>
    <w:p w14:paraId="79805230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10.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刑事诉讼基本原则</w:t>
      </w:r>
    </w:p>
    <w:p w14:paraId="1450F603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程序性法律后果与程序制裁</w:t>
      </w:r>
    </w:p>
    <w:p w14:paraId="3EF1B5F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12.刑事诉讼功能</w:t>
      </w:r>
    </w:p>
    <w:p w14:paraId="1DCDF84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（二）民事诉讼法学的基本范畴</w:t>
      </w:r>
    </w:p>
    <w:p w14:paraId="7514C0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1.</w:t>
      </w:r>
      <w:r>
        <w:rPr>
          <w:rFonts w:hint="eastAsia"/>
          <w:sz w:val="28"/>
          <w:szCs w:val="28"/>
        </w:rPr>
        <w:t>民事纠纷、纠纷解决与民事诉讼</w:t>
      </w:r>
    </w:p>
    <w:p w14:paraId="214C7627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民事诉讼目的、价值</w:t>
      </w:r>
    </w:p>
    <w:p w14:paraId="4ED59C98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民事诉讼职能、功能</w:t>
      </w:r>
    </w:p>
    <w:p w14:paraId="55399DA4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民事诉讼模式</w:t>
      </w:r>
    </w:p>
    <w:p w14:paraId="0C83FBF8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民事诉讼阶段</w:t>
      </w:r>
    </w:p>
    <w:p w14:paraId="69F6E2ED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民事诉讼法律关系</w:t>
      </w:r>
    </w:p>
    <w:p w14:paraId="7643F3C6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7.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民事诉讼主体</w:t>
      </w:r>
    </w:p>
    <w:p w14:paraId="1156677A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民事诉讼标的</w:t>
      </w:r>
    </w:p>
    <w:p w14:paraId="50AB4A09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民事诉讼行为</w:t>
      </w:r>
    </w:p>
    <w:p w14:paraId="35EC7146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10.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民事诉讼基本原则</w:t>
      </w:r>
    </w:p>
    <w:p w14:paraId="3A7DB2C6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民事诉讼基本制度</w:t>
      </w:r>
    </w:p>
    <w:p w14:paraId="4A087ED1">
      <w:pPr>
        <w:pStyle w:val="2"/>
        <w:ind w:left="451" w:leftChars="215" w:firstLine="280" w:firstLineChars="100"/>
        <w:rPr>
          <w:rFonts w:hint="eastAsia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民事诉讼判决效力</w:t>
      </w:r>
    </w:p>
    <w:p w14:paraId="4CA31F35">
      <w:pPr>
        <w:pStyle w:val="2"/>
        <w:ind w:left="283" w:leftChars="79" w:hanging="117" w:hangingChars="42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二、刑事诉讼的构造</w:t>
      </w:r>
    </w:p>
    <w:p w14:paraId="6548F18E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刑事诉讼的横向构造</w:t>
      </w:r>
    </w:p>
    <w:p w14:paraId="78950438"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 xml:space="preserve">   （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）审前程序构造</w:t>
      </w:r>
    </w:p>
    <w:p w14:paraId="1A9FBA53"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 xml:space="preserve">   （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）审判程序构造</w:t>
      </w:r>
    </w:p>
    <w:p w14:paraId="0960EC0E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刑事诉讼的纵向构造</w:t>
      </w:r>
    </w:p>
    <w:p w14:paraId="6485C5A7">
      <w:pPr>
        <w:pStyle w:val="2"/>
        <w:ind w:left="283" w:leftChars="79" w:hanging="117" w:hangingChars="42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三、民事诉讼当事人与法院之间的权限配置</w:t>
      </w:r>
    </w:p>
    <w:p w14:paraId="68260482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当事人主义、职权主义、协同主义</w:t>
      </w:r>
    </w:p>
    <w:p w14:paraId="4E9BCA45"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 xml:space="preserve">   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2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辩论主义、职权探知主义</w:t>
      </w:r>
    </w:p>
    <w:p w14:paraId="7FE7E88D"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 xml:space="preserve">   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3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真实义务、事案解明义务、释明、法律观点指出义务</w:t>
      </w:r>
    </w:p>
    <w:p w14:paraId="7DF9A5CE">
      <w:pPr>
        <w:rPr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sz w:val="28"/>
          <w:szCs w:val="28"/>
        </w:rPr>
        <w:t>4.</w:t>
      </w:r>
      <w:r>
        <w:rPr>
          <w:rFonts w:hint="eastAsia"/>
          <w:sz w:val="28"/>
          <w:szCs w:val="28"/>
        </w:rPr>
        <w:t>民事诉讼模式的转型</w:t>
      </w:r>
    </w:p>
    <w:p w14:paraId="42D46DCC">
      <w:pPr>
        <w:rPr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sz w:val="28"/>
          <w:szCs w:val="28"/>
        </w:rPr>
        <w:t>5.</w:t>
      </w:r>
      <w:r>
        <w:rPr>
          <w:rFonts w:hint="eastAsia"/>
          <w:sz w:val="28"/>
          <w:szCs w:val="28"/>
        </w:rPr>
        <w:t>当事人诉讼权利</w:t>
      </w:r>
    </w:p>
    <w:p w14:paraId="7292341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四、民事诉讼中检察机关的法律监督理论与程序实现</w:t>
      </w:r>
    </w:p>
    <w:p w14:paraId="285A3DDD">
      <w:pPr>
        <w:pStyle w:val="2"/>
        <w:ind w:left="140" w:leftChars="0" w:hanging="14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五、程序正义理论</w:t>
      </w:r>
    </w:p>
    <w:p w14:paraId="1349F80D">
      <w:pPr>
        <w:pStyle w:val="2"/>
        <w:ind w:left="632" w:leftChars="301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程序正义与当代的程序价值理论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程序正义价值的独立性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程序正义与其他正义形态的关系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程序正义的基本构成要素</w:t>
      </w:r>
    </w:p>
    <w:p w14:paraId="463BD873">
      <w:pPr>
        <w:pStyle w:val="2"/>
        <w:ind w:left="0" w:leftChars="0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六、认罪认罚从宽制度相关理论与实践</w:t>
      </w:r>
    </w:p>
    <w:p w14:paraId="427838EB">
      <w:pPr>
        <w:pStyle w:val="2"/>
        <w:ind w:left="0" w:leftChars="0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七、民事公益诉讼相关理论与实践</w:t>
      </w:r>
    </w:p>
    <w:p w14:paraId="24063ADF">
      <w:pPr>
        <w:pStyle w:val="2"/>
        <w:ind w:left="0" w:leftChars="0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1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当前已立法明确可提起民事公益诉讼的案件范围</w:t>
      </w:r>
    </w:p>
    <w:p w14:paraId="72AF1D8C">
      <w:pPr>
        <w:pStyle w:val="2"/>
        <w:ind w:left="0" w:leftChars="0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2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民事公益诉讼与行政公益诉讼的区别</w:t>
      </w:r>
    </w:p>
    <w:p w14:paraId="374EC962">
      <w:pPr>
        <w:pStyle w:val="2"/>
        <w:ind w:left="0" w:leftChars="0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3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民事公益诉讼的程序特殊性</w:t>
      </w:r>
    </w:p>
    <w:p w14:paraId="6BF3BB8F">
      <w:pPr>
        <w:pStyle w:val="2"/>
        <w:ind w:left="0" w:leftChars="0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4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刑事附带民事公益诉讼</w:t>
      </w:r>
    </w:p>
    <w:p w14:paraId="1F710918">
      <w:pPr>
        <w:pStyle w:val="2"/>
        <w:ind w:left="0" w:leftChars="0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5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检察民事公益诉讼</w:t>
      </w:r>
    </w:p>
    <w:p w14:paraId="4B805FA0">
      <w:pPr>
        <w:pStyle w:val="2"/>
        <w:ind w:left="0" w:leftChars="0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6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公益诉讼相关理论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八、刑事诉讼中的公民权利保护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br w:type="textWrapping"/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    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犯罪嫌疑人、被告人的诉讼权利与权利保护</w:t>
      </w:r>
    </w:p>
    <w:p w14:paraId="355A0F4B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被害人的诉讼权利与权利保护</w:t>
      </w:r>
    </w:p>
    <w:p w14:paraId="60CC659B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对其他公民的权利保护</w:t>
      </w:r>
    </w:p>
    <w:p w14:paraId="6E10B50C">
      <w:pPr>
        <w:pStyle w:val="2"/>
        <w:ind w:left="0" w:leftChars="0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九、刑事诉讼、民事诉讼程序原理与机制</w:t>
      </w:r>
    </w:p>
    <w:p w14:paraId="6B900039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（一）刑事诉讼</w:t>
      </w:r>
    </w:p>
    <w:p w14:paraId="0E451AD5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管辖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 w14:paraId="1A7CC7CE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回避</w:t>
      </w:r>
    </w:p>
    <w:p w14:paraId="0896D451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辩护</w:t>
      </w:r>
    </w:p>
    <w:p w14:paraId="3387A55D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强制措施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 w14:paraId="7A9C4562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附带民事诉讼</w:t>
      </w:r>
    </w:p>
    <w:p w14:paraId="019DFE3E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立案</w:t>
      </w:r>
    </w:p>
    <w:p w14:paraId="22BAC7DA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7.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侦查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 w14:paraId="49896F29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起诉与不起诉</w:t>
      </w:r>
    </w:p>
    <w:p w14:paraId="0EDDC9B5">
      <w:pPr>
        <w:pStyle w:val="2"/>
        <w:ind w:left="451" w:leftChars="215" w:firstLine="140" w:firstLineChars="5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自诉</w:t>
      </w:r>
    </w:p>
    <w:p w14:paraId="112132E3">
      <w:pPr>
        <w:pStyle w:val="2"/>
        <w:ind w:left="451" w:leftChars="215" w:firstLine="140" w:firstLineChars="5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10.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第一审程序</w:t>
      </w:r>
    </w:p>
    <w:p w14:paraId="753C4549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简易程序、速裁程序</w:t>
      </w:r>
    </w:p>
    <w:p w14:paraId="53D1B0E3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第二审程序</w:t>
      </w:r>
    </w:p>
    <w:p w14:paraId="0E75FE48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死刑复核程序</w:t>
      </w:r>
    </w:p>
    <w:p w14:paraId="778C46CA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审判监督程序</w:t>
      </w:r>
    </w:p>
    <w:p w14:paraId="40AB701E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未成年人刑事诉讼程序</w:t>
      </w:r>
    </w:p>
    <w:p w14:paraId="1D8DD47F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当事人和解的公诉案件诉讼程序</w:t>
      </w:r>
    </w:p>
    <w:p w14:paraId="2EA80013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17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.缺席审判</w:t>
      </w:r>
    </w:p>
    <w:p w14:paraId="12EEA68F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没收违法所得程序</w:t>
      </w:r>
    </w:p>
    <w:p w14:paraId="7FDF7D25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强制医疗程序</w:t>
      </w:r>
    </w:p>
    <w:p w14:paraId="7E6F5F7B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（二）民事诉讼</w:t>
      </w:r>
    </w:p>
    <w:p w14:paraId="4C46E692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管辖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 w14:paraId="3FBB8CC5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回避</w:t>
      </w:r>
    </w:p>
    <w:p w14:paraId="1F474EB7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合议制与独任制</w:t>
      </w:r>
    </w:p>
    <w:p w14:paraId="31ABAB7D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4.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陪审制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 w14:paraId="2FEDACCA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5.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公开审判</w:t>
      </w:r>
    </w:p>
    <w:p w14:paraId="4144AF27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6.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两审终审与例外</w:t>
      </w:r>
    </w:p>
    <w:p w14:paraId="6B8DFA6D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7.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调解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</w:t>
      </w:r>
    </w:p>
    <w:p w14:paraId="6F05367C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8.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起诉、立案受理、反诉、撤诉</w:t>
      </w:r>
    </w:p>
    <w:p w14:paraId="48D183E0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9.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送达</w:t>
      </w:r>
    </w:p>
    <w:p w14:paraId="32E96B13">
      <w:pPr>
        <w:pStyle w:val="2"/>
        <w:ind w:left="451" w:leftChars="215" w:firstLine="140" w:firstLineChars="5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10.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保全与先予执行</w:t>
      </w:r>
    </w:p>
    <w:p w14:paraId="67BEFA66">
      <w:pPr>
        <w:pStyle w:val="2"/>
        <w:ind w:left="451" w:leftChars="215" w:firstLine="140" w:firstLineChars="5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 xml:space="preserve"> 11.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民事诉讼强制措施</w:t>
      </w:r>
    </w:p>
    <w:p w14:paraId="172D7EAC">
      <w:pPr>
        <w:pStyle w:val="2"/>
        <w:ind w:left="483" w:leftChars="230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12.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第一审普通程序</w:t>
      </w:r>
    </w:p>
    <w:p w14:paraId="22F9456A">
      <w:pPr>
        <w:pStyle w:val="2"/>
        <w:ind w:left="718" w:leftChars="342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简易程序、小额诉讼程序</w:t>
      </w:r>
    </w:p>
    <w:p w14:paraId="53AF6E88">
      <w:pPr>
        <w:rPr>
          <w:rFonts w:cstheme="minorHAnsi"/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rFonts w:cstheme="minorHAnsi"/>
          <w:sz w:val="28"/>
          <w:szCs w:val="28"/>
        </w:rPr>
        <w:t>14.第三人撤销之诉</w:t>
      </w:r>
    </w:p>
    <w:p w14:paraId="201B9C52">
      <w:pPr>
        <w:rPr>
          <w:sz w:val="28"/>
          <w:szCs w:val="28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sz w:val="28"/>
          <w:szCs w:val="28"/>
        </w:rPr>
        <w:t>15.</w:t>
      </w:r>
      <w:r>
        <w:rPr>
          <w:rFonts w:hint="eastAsia"/>
          <w:sz w:val="28"/>
          <w:szCs w:val="28"/>
        </w:rPr>
        <w:t>第二审程序</w:t>
      </w:r>
    </w:p>
    <w:p w14:paraId="3BE23638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6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审判监督程序</w:t>
      </w:r>
    </w:p>
    <w:p w14:paraId="4FB19DA8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7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特别程序</w:t>
      </w:r>
    </w:p>
    <w:p w14:paraId="09B64FBB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8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督促程序</w:t>
      </w:r>
    </w:p>
    <w:p w14:paraId="2F6828AF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9.公示催告程序</w:t>
      </w:r>
    </w:p>
    <w:p w14:paraId="3B7099DD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20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缺席判决</w:t>
      </w:r>
    </w:p>
    <w:p w14:paraId="3C1EB51D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21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延期审理、诉讼中止、诉讼终结</w:t>
      </w:r>
    </w:p>
    <w:p w14:paraId="5BDB7D7A">
      <w:pPr>
        <w:pStyle w:val="2"/>
        <w:ind w:left="451" w:leftChars="215" w:firstLine="280" w:firstLineChars="1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22</w:t>
      </w: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民事执行</w:t>
      </w:r>
    </w:p>
    <w:p w14:paraId="28F662EE">
      <w:pPr>
        <w:pStyle w:val="2"/>
        <w:ind w:left="118" w:leftChars="56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十、司法体制改革对刑事诉讼、民事诉讼的影响</w:t>
      </w:r>
    </w:p>
    <w:p w14:paraId="4CD024DE">
      <w:r>
        <w:rPr>
          <w:rFonts w:hint="eastAsia"/>
          <w:sz w:val="28"/>
          <w:szCs w:val="28"/>
        </w:rPr>
        <w:t xml:space="preserve"> 十一、前沿政策对刑事诉讼、民事诉讼的影响</w:t>
      </w:r>
    </w:p>
    <w:p w14:paraId="6E5889EF">
      <w:pPr>
        <w:pStyle w:val="2"/>
        <w:ind w:left="118" w:leftChars="56" w:firstLine="0" w:firstLineChars="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十二、刑事、民事证据制度</w:t>
      </w:r>
    </w:p>
    <w:p w14:paraId="65A3D23E">
      <w:pPr>
        <w:pStyle w:val="2"/>
        <w:ind w:left="141" w:leftChars="67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1.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证据学原理</w:t>
      </w:r>
    </w:p>
    <w:p w14:paraId="41954241">
      <w:pPr>
        <w:pStyle w:val="2"/>
        <w:ind w:left="141" w:leftChars="67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2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证据规则</w:t>
      </w:r>
    </w:p>
    <w:p w14:paraId="6EA60247">
      <w:pPr>
        <w:pStyle w:val="2"/>
        <w:ind w:left="141" w:leftChars="67" w:firstLine="560" w:firstLineChars="200"/>
        <w:rPr>
          <w:rFonts w:asciiTheme="minorHAnsi" w:hAnsiTheme="minorHAnsi" w:eastAsiaTheme="minorEastAsia" w:cstheme="minorBidi"/>
          <w:color w:val="auto"/>
          <w:sz w:val="28"/>
          <w:szCs w:val="28"/>
        </w:rPr>
      </w:pPr>
      <w:r>
        <w:rPr>
          <w:rFonts w:asciiTheme="minorHAnsi" w:hAnsiTheme="minorHAnsi" w:eastAsiaTheme="minorEastAsia" w:cstheme="minorBidi"/>
          <w:color w:val="auto"/>
          <w:sz w:val="28"/>
          <w:szCs w:val="28"/>
        </w:rPr>
        <w:t>3.</w:t>
      </w:r>
      <w:r>
        <w:rPr>
          <w:rFonts w:hint="eastAsia" w:asciiTheme="minorHAnsi" w:hAnsiTheme="minorHAnsi" w:eastAsiaTheme="minorEastAsia" w:cstheme="minorBidi"/>
          <w:color w:val="auto"/>
          <w:sz w:val="28"/>
          <w:szCs w:val="28"/>
        </w:rPr>
        <w:t>证明过程</w:t>
      </w:r>
    </w:p>
    <w:p w14:paraId="7EE88F7E"/>
    <w:p w14:paraId="15DA7B0E">
      <w:pPr>
        <w:rPr>
          <w:rFonts w:hint="eastAsia" w:ascii="仿宋" w:hAnsi="仿宋" w:eastAsia="仿宋"/>
          <w:sz w:val="28"/>
          <w:szCs w:val="28"/>
        </w:rPr>
      </w:pPr>
    </w:p>
    <w:p w14:paraId="4BB94C7A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BFCAB2E-0881-4234-8AEC-0AA82DCCCAF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EF66A2E7-FD6C-4AA0-883D-A92B733D7F9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AEA89BDF-A8C7-44FD-9684-5F92B8CD45A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D9B40">
    <w:pPr>
      <w:pStyle w:val="4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0DFDF783">
                    <w:pPr>
                      <w:pStyle w:val="4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533A83AC"/>
            </w:txbxContent>
          </v:textbox>
        </v:shape>
      </w:pict>
    </w:r>
  </w:p>
  <w:p w14:paraId="57F002B9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86693C"/>
    <w:rsid w:val="1465036A"/>
    <w:rsid w:val="1E543091"/>
    <w:rsid w:val="208757D7"/>
    <w:rsid w:val="2F6F1AD9"/>
    <w:rsid w:val="36B32C31"/>
    <w:rsid w:val="39B1357E"/>
    <w:rsid w:val="584601B1"/>
    <w:rsid w:val="5EAD7001"/>
    <w:rsid w:val="608275D1"/>
    <w:rsid w:val="7282548D"/>
    <w:rsid w:val="73771240"/>
    <w:rsid w:val="788C4F8F"/>
    <w:rsid w:val="7F5F67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iPriority="0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6"/>
    <w:next w:val="1"/>
    <w:unhideWhenUsed/>
    <w:qFormat/>
    <w:uiPriority w:val="0"/>
    <w:pPr>
      <w:spacing w:line="360" w:lineRule="auto"/>
      <w:ind w:left="602" w:leftChars="172" w:hanging="120" w:hangingChars="50"/>
    </w:pPr>
    <w:rPr>
      <w:rFonts w:ascii="黑体" w:hAnsi="黑体" w:eastAsia="黑体" w:cs="宋体"/>
      <w:color w:val="000000"/>
      <w:sz w:val="24"/>
      <w:szCs w:val="24"/>
      <w:lang w:val="en-US" w:eastAsia="zh-CN" w:bidi="ar-SA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1070</Words>
  <Characters>1194</Characters>
  <Lines>9</Lines>
  <Paragraphs>2</Paragraphs>
  <TotalTime>4</TotalTime>
  <ScaleCrop>false</ScaleCrop>
  <LinksUpToDate>false</LinksUpToDate>
  <CharactersWithSpaces>1266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2016-09-11T16:23:00Z</dcterms:created>
  <dc:creator>Microsoft</dc:creator>
  <cp:lastModifiedBy>夭桃秾李</cp:lastModifiedBy>
  <dcterms:modified xsi:type="dcterms:W3CDTF">2025-11-20T07:41:52Z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